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BFB905">
      <w:pPr>
        <w:wordWrap w:val="0"/>
        <w:ind w:right="-44"/>
        <w:jc w:val="right"/>
        <w:rPr>
          <w:rFonts w:hint="default"/>
          <w:szCs w:val="24"/>
          <w:lang w:val="lt-LT"/>
        </w:rPr>
      </w:pPr>
      <w:r>
        <w:rPr>
          <w:rFonts w:hint="default"/>
          <w:szCs w:val="24"/>
          <w:lang w:val="lt-LT"/>
        </w:rPr>
        <w:t>PATVIRTINTA</w:t>
      </w:r>
    </w:p>
    <w:p w14:paraId="6BF1631F">
      <w:pPr>
        <w:wordWrap/>
        <w:ind w:right="-44"/>
        <w:jc w:val="right"/>
        <w:rPr>
          <w:rFonts w:hint="default"/>
          <w:szCs w:val="24"/>
          <w:lang w:val="lt-LT"/>
        </w:rPr>
      </w:pPr>
      <w:r>
        <w:rPr>
          <w:rFonts w:hint="default"/>
          <w:szCs w:val="24"/>
          <w:lang w:val="lt-LT"/>
        </w:rPr>
        <w:t xml:space="preserve">2026 m. vasario 27 d. </w:t>
      </w:r>
    </w:p>
    <w:p w14:paraId="2E4849BE">
      <w:pPr>
        <w:wordWrap/>
        <w:ind w:right="-44"/>
        <w:jc w:val="right"/>
        <w:rPr>
          <w:rFonts w:hint="default"/>
          <w:szCs w:val="24"/>
          <w:lang w:val="en-US"/>
        </w:rPr>
      </w:pPr>
      <w:r>
        <w:rPr>
          <w:szCs w:val="24"/>
          <w:lang w:eastAsia="lt-LT"/>
        </w:rPr>
        <w:t>Vilniaus rajono savivaldybės</w:t>
      </w:r>
      <w:r>
        <w:rPr>
          <w:rFonts w:hint="default"/>
          <w:szCs w:val="24"/>
          <w:lang w:val="en-US" w:eastAsia="lt-LT"/>
        </w:rPr>
        <w:t xml:space="preserve"> </w:t>
      </w:r>
      <w:r>
        <w:rPr>
          <w:szCs w:val="24"/>
          <w:lang w:eastAsia="lt-LT"/>
        </w:rPr>
        <w:t>Tarybos</w:t>
      </w:r>
      <w:r>
        <w:rPr>
          <w:rFonts w:hint="default"/>
          <w:szCs w:val="24"/>
          <w:lang w:val="en-US" w:eastAsia="lt-LT"/>
        </w:rPr>
        <w:t xml:space="preserve">                                                                                                                                                                                          </w:t>
      </w:r>
      <w:r>
        <w:rPr>
          <w:szCs w:val="24"/>
          <w:lang w:eastAsia="lt-LT"/>
        </w:rPr>
        <w:t xml:space="preserve"> Antikorupcijos komisij</w:t>
      </w:r>
      <w:r>
        <w:rPr>
          <w:rFonts w:hint="default"/>
          <w:szCs w:val="24"/>
          <w:lang w:val="en-US" w:eastAsia="lt-LT"/>
        </w:rPr>
        <w:t xml:space="preserve">os protokolu Nr.K3-3(1.16 E) </w:t>
      </w:r>
    </w:p>
    <w:p w14:paraId="7929E834">
      <w:pPr>
        <w:ind w:right="-44"/>
        <w:jc w:val="center"/>
        <w:rPr>
          <w:szCs w:val="24"/>
          <w:lang w:val="en-US"/>
        </w:rPr>
      </w:pPr>
      <w:r>
        <w:rPr>
          <w:szCs w:val="24"/>
          <w:lang w:val="en-US"/>
        </w:rPr>
        <w:object>
          <v:shape id="_x0000_i1025" o:spt="75" type="#_x0000_t75" style="height:42.6pt;width:37.8pt;" o:ole="t" fillcolor="#FFFFFF" filled="f" o:preferrelative="t" stroked="f" coordsize="21600,21600">
            <v:path/>
            <v:fill on="f" focussize="0,0"/>
            <v:stroke on="f" joinstyle="miter"/>
            <v:imagedata r:id="rId11" o:title=""/>
            <o:lock v:ext="edit" aspectratio="t"/>
            <w10:wrap type="none"/>
            <w10:anchorlock/>
          </v:shape>
          <o:OLEObject Type="Embed" ProgID="CorelPhotoPaint.Image.9" ShapeID="_x0000_i1025" DrawAspect="Content" ObjectID="_1468075725" r:id="rId10">
            <o:LockedField>false</o:LockedField>
          </o:OLEObject>
        </w:object>
      </w:r>
    </w:p>
    <w:p w14:paraId="57BE089A">
      <w:pPr>
        <w:rPr>
          <w:szCs w:val="24"/>
        </w:rPr>
      </w:pPr>
    </w:p>
    <w:p w14:paraId="2F606290">
      <w:pPr>
        <w:jc w:val="center"/>
        <w:rPr>
          <w:b/>
          <w:bCs/>
          <w:szCs w:val="24"/>
          <w:lang w:eastAsia="lt-LT"/>
        </w:rPr>
      </w:pPr>
      <w:r>
        <w:rPr>
          <w:b/>
          <w:bCs/>
          <w:szCs w:val="24"/>
          <w:lang w:eastAsia="lt-LT"/>
        </w:rPr>
        <w:t>DĖL VILNIAUS RAJONO SAVIVALDYBĖS TARYBOS ANTIKORUPCIJOS KOMISIJOS 2025 METŲ VEIKLOS ATASKAITA</w:t>
      </w:r>
    </w:p>
    <w:p w14:paraId="3F0E1045">
      <w:pPr>
        <w:jc w:val="center"/>
        <w:rPr>
          <w:b/>
          <w:bCs/>
          <w:szCs w:val="24"/>
          <w:lang w:eastAsia="lt-LT"/>
        </w:rPr>
      </w:pPr>
    </w:p>
    <w:p w14:paraId="38EF866F">
      <w:pPr>
        <w:jc w:val="both"/>
        <w:rPr>
          <w:b/>
          <w:bCs/>
          <w:szCs w:val="24"/>
          <w:lang w:eastAsia="lt-LT"/>
        </w:rPr>
      </w:pPr>
      <w:r>
        <w:rPr>
          <w:b/>
          <w:bCs/>
          <w:szCs w:val="24"/>
          <w:lang w:eastAsia="lt-LT"/>
        </w:rPr>
        <w:tab/>
      </w:r>
    </w:p>
    <w:p w14:paraId="4C287D8F">
      <w:pPr>
        <w:ind w:firstLine="567"/>
        <w:jc w:val="both"/>
        <w:rPr>
          <w:szCs w:val="24"/>
          <w:lang w:eastAsia="lt-LT"/>
        </w:rPr>
      </w:pPr>
      <w:r>
        <w:rPr>
          <w:szCs w:val="24"/>
          <w:lang w:eastAsia="lt-LT"/>
        </w:rPr>
        <w:t xml:space="preserve">Vilniaus rajono savivaldybės tarybos Antikorupcijos komisija, vadovaudamasi Lietuvos Respublikos vietos savivaldos įstatymo 24 str. 3 d., Lietuvos Respublikos specialiųjų tyrimų tarnybos Korupcijos pasireiškimo tikimybės nustatymo ir jo atlikimo tvarkos rekomendacijomis, Vilniaus rajono savivaldybės korupcijos prevencijos 2016-2025 metų programa ir Vilniaus rajono savivaldybės korupcijos prevencijos 2016-2025 metų programos įgyvendinimo priemonių planu,  Vilniaus rajono savivaldybės tarybos Antikorupcijos komisijos nuostatų (toliau – Nuostatai) 7.8. </w:t>
      </w:r>
      <w:bookmarkStart w:id="0" w:name="_GoBack"/>
      <w:bookmarkEnd w:id="0"/>
      <w:r>
        <w:rPr>
          <w:szCs w:val="24"/>
          <w:lang w:eastAsia="lt-LT"/>
        </w:rPr>
        <w:t xml:space="preserve">p., sudaro Vilniaus rajono savivaldybės tarybos Antikorupcijos komisijos 2024 metų veiklos ataskaitą. </w:t>
      </w:r>
    </w:p>
    <w:p w14:paraId="7D1A627A">
      <w:pPr>
        <w:ind w:firstLine="567"/>
        <w:jc w:val="both"/>
        <w:rPr>
          <w:szCs w:val="24"/>
          <w:lang w:eastAsia="lt-LT"/>
        </w:rPr>
      </w:pPr>
    </w:p>
    <w:p w14:paraId="262CB170">
      <w:pPr>
        <w:ind w:firstLine="567"/>
        <w:jc w:val="both"/>
        <w:rPr>
          <w:szCs w:val="24"/>
          <w:lang w:eastAsia="lt-LT"/>
        </w:rPr>
      </w:pPr>
      <w:r>
        <w:rPr>
          <w:szCs w:val="24"/>
          <w:lang w:eastAsia="lt-LT"/>
        </w:rPr>
        <w:t xml:space="preserve">Vilniaus rajono savivaldybės tarybos Antikorupcijos komisijos (toliau – Komisija) 2025 m. </w:t>
      </w:r>
      <w:r>
        <w:rPr>
          <w:b/>
          <w:bCs/>
          <w:szCs w:val="24"/>
          <w:lang w:eastAsia="lt-LT"/>
        </w:rPr>
        <w:t>veiklos tikslas</w:t>
      </w:r>
      <w:r>
        <w:rPr>
          <w:szCs w:val="24"/>
          <w:lang w:eastAsia="lt-LT"/>
        </w:rPr>
        <w:t xml:space="preserve"> – užtikrinti veiksmingą ir kryptingą korupcijos prevencijos priemonių koordinavimą, korupcijos kontrolės vykdymą ir tęstinumą, didinti skaidrumą ir atvirumą, kelti visuomenės antikorupcinį sąmoningumą.</w:t>
      </w:r>
    </w:p>
    <w:p w14:paraId="434A83A1">
      <w:pPr>
        <w:ind w:firstLine="567"/>
        <w:jc w:val="both"/>
        <w:rPr>
          <w:szCs w:val="24"/>
          <w:lang w:eastAsia="lt-LT"/>
        </w:rPr>
      </w:pPr>
    </w:p>
    <w:tbl>
      <w:tblPr>
        <w:tblStyle w:val="10"/>
        <w:tblW w:w="148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0"/>
        <w:gridCol w:w="1977"/>
        <w:gridCol w:w="5386"/>
        <w:gridCol w:w="3402"/>
        <w:gridCol w:w="3544"/>
      </w:tblGrid>
      <w:tr w14:paraId="0D4CB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0" w:type="dxa"/>
          </w:tcPr>
          <w:p w14:paraId="72FD5282">
            <w:pPr>
              <w:jc w:val="center"/>
              <w:rPr>
                <w:b/>
                <w:bCs/>
                <w:szCs w:val="24"/>
                <w:lang w:eastAsia="lt-LT"/>
              </w:rPr>
            </w:pPr>
            <w:r>
              <w:rPr>
                <w:b/>
                <w:bCs/>
                <w:szCs w:val="24"/>
                <w:lang w:eastAsia="lt-LT"/>
              </w:rPr>
              <w:t>Eil. Nr.</w:t>
            </w:r>
          </w:p>
        </w:tc>
        <w:tc>
          <w:tcPr>
            <w:tcW w:w="1977" w:type="dxa"/>
          </w:tcPr>
          <w:p w14:paraId="7B533970">
            <w:pPr>
              <w:jc w:val="center"/>
              <w:rPr>
                <w:b/>
                <w:bCs/>
                <w:szCs w:val="24"/>
                <w:lang w:eastAsia="lt-LT"/>
              </w:rPr>
            </w:pPr>
            <w:r>
              <w:rPr>
                <w:b/>
                <w:bCs/>
                <w:szCs w:val="24"/>
                <w:lang w:eastAsia="lt-LT"/>
              </w:rPr>
              <w:t>VEIKLA</w:t>
            </w:r>
          </w:p>
        </w:tc>
        <w:tc>
          <w:tcPr>
            <w:tcW w:w="5386" w:type="dxa"/>
          </w:tcPr>
          <w:p w14:paraId="42CF7366">
            <w:pPr>
              <w:jc w:val="center"/>
              <w:rPr>
                <w:b/>
                <w:bCs/>
                <w:szCs w:val="24"/>
                <w:lang w:eastAsia="lt-LT"/>
              </w:rPr>
            </w:pPr>
            <w:r>
              <w:rPr>
                <w:b/>
                <w:bCs/>
                <w:szCs w:val="24"/>
                <w:lang w:eastAsia="lt-LT"/>
              </w:rPr>
              <w:t>PRIEMONĖ</w:t>
            </w:r>
          </w:p>
        </w:tc>
        <w:tc>
          <w:tcPr>
            <w:tcW w:w="3402" w:type="dxa"/>
          </w:tcPr>
          <w:p w14:paraId="2B8AF7AF">
            <w:pPr>
              <w:jc w:val="center"/>
              <w:rPr>
                <w:b/>
                <w:bCs/>
                <w:szCs w:val="24"/>
                <w:lang w:eastAsia="lt-LT"/>
              </w:rPr>
            </w:pPr>
            <w:r>
              <w:rPr>
                <w:b/>
                <w:bCs/>
                <w:szCs w:val="24"/>
                <w:lang w:eastAsia="lt-LT"/>
              </w:rPr>
              <w:t>ATLIKTŲ DARBŲ VERTINIMO KRITERIJAI</w:t>
            </w:r>
          </w:p>
        </w:tc>
        <w:tc>
          <w:tcPr>
            <w:tcW w:w="3544" w:type="dxa"/>
          </w:tcPr>
          <w:p w14:paraId="68393C6E">
            <w:pPr>
              <w:jc w:val="center"/>
              <w:rPr>
                <w:b/>
                <w:bCs/>
                <w:szCs w:val="24"/>
                <w:lang w:eastAsia="lt-LT"/>
              </w:rPr>
            </w:pPr>
          </w:p>
          <w:p w14:paraId="2AB03B82">
            <w:pPr>
              <w:rPr>
                <w:b/>
                <w:bCs/>
                <w:szCs w:val="24"/>
                <w:lang w:eastAsia="lt-LT"/>
              </w:rPr>
            </w:pPr>
          </w:p>
          <w:p w14:paraId="4D685D6B">
            <w:pPr>
              <w:rPr>
                <w:b/>
                <w:bCs/>
                <w:szCs w:val="24"/>
                <w:lang w:eastAsia="lt-LT"/>
              </w:rPr>
            </w:pPr>
            <w:r>
              <w:rPr>
                <w:b/>
                <w:bCs/>
                <w:szCs w:val="24"/>
                <w:lang w:eastAsia="lt-LT"/>
              </w:rPr>
              <w:t>PASIEKTA REIKŠMĖ</w:t>
            </w:r>
          </w:p>
        </w:tc>
      </w:tr>
      <w:tr w14:paraId="41510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0" w:type="dxa"/>
          </w:tcPr>
          <w:p w14:paraId="520B5E8E">
            <w:pPr>
              <w:jc w:val="both"/>
              <w:rPr>
                <w:szCs w:val="24"/>
                <w:lang w:eastAsia="lt-LT"/>
              </w:rPr>
            </w:pPr>
            <w:r>
              <w:rPr>
                <w:szCs w:val="24"/>
                <w:lang w:eastAsia="lt-LT"/>
              </w:rPr>
              <w:t>1.</w:t>
            </w:r>
          </w:p>
        </w:tc>
        <w:tc>
          <w:tcPr>
            <w:tcW w:w="1977" w:type="dxa"/>
          </w:tcPr>
          <w:p w14:paraId="19375A62">
            <w:pPr>
              <w:jc w:val="both"/>
              <w:rPr>
                <w:szCs w:val="24"/>
                <w:lang w:eastAsia="lt-LT"/>
              </w:rPr>
            </w:pPr>
            <w:r>
              <w:rPr>
                <w:szCs w:val="24"/>
                <w:lang w:eastAsia="lt-LT"/>
              </w:rPr>
              <w:t>Informuoti visuomenę apie Vilniaus rajono savivaldybės tarybos Antikorupcijos komisijos veiklą (Antikorupcijos komisija), korupcijos prevencijos priemones ir rezultatus</w:t>
            </w:r>
          </w:p>
        </w:tc>
        <w:tc>
          <w:tcPr>
            <w:tcW w:w="5386" w:type="dxa"/>
          </w:tcPr>
          <w:p w14:paraId="78062A00">
            <w:pPr>
              <w:jc w:val="both"/>
              <w:rPr>
                <w:szCs w:val="24"/>
                <w:lang w:eastAsia="lt-LT"/>
              </w:rPr>
            </w:pPr>
            <w:r>
              <w:rPr>
                <w:szCs w:val="24"/>
                <w:lang w:eastAsia="lt-LT"/>
              </w:rPr>
              <w:t>1.1. Organizuoti eilinius ir, esant poreikiui, neeilinius Antikorupcijos komisijos posėdžius (ne rečiau kaip kas pusę metų).</w:t>
            </w:r>
          </w:p>
          <w:p w14:paraId="169E2D98">
            <w:pPr>
              <w:jc w:val="both"/>
              <w:rPr>
                <w:szCs w:val="24"/>
                <w:lang w:eastAsia="lt-LT"/>
              </w:rPr>
            </w:pPr>
            <w:r>
              <w:rPr>
                <w:szCs w:val="24"/>
                <w:lang w:eastAsia="lt-LT"/>
              </w:rPr>
              <w:t>1.2. Informuoti visuomenę apie savo veiklą, vykdomas korupcijos prevencijos priemones. Savivaldybės interneto svetainės skiltyje „Korupcijos prevencija“ teikti informaciją apie Antikorupcijos komisijos veiklą, skelbti posėdžių protokolus, kiek tai neprieštarauja Lietuvos Respublikos asmens duomenų teisinės apsaugos įstatymui.</w:t>
            </w:r>
          </w:p>
          <w:p w14:paraId="7B93318C">
            <w:pPr>
              <w:jc w:val="both"/>
              <w:rPr>
                <w:szCs w:val="24"/>
                <w:lang w:eastAsia="lt-LT"/>
              </w:rPr>
            </w:pPr>
            <w:r>
              <w:rPr>
                <w:szCs w:val="24"/>
                <w:lang w:eastAsia="lt-LT"/>
              </w:rPr>
              <w:t>1.3. Pagal poreikį į Antikorupcijos komisijos posėdžius kviesti savivaldybės kontrolės ir audito darbuotojus, savivaldybės administracijos vadovus ir darbuotojus, savivaldybės įstaigų vadovus, kurie svarstomu klausimu, pagal kompetenciją, galėtų prisidėti prie korupcijai atsparios aplinkos kūrimo ar atsakyti į kilusius klausimus.</w:t>
            </w:r>
          </w:p>
        </w:tc>
        <w:tc>
          <w:tcPr>
            <w:tcW w:w="3402" w:type="dxa"/>
          </w:tcPr>
          <w:p w14:paraId="67104F07">
            <w:pPr>
              <w:tabs>
                <w:tab w:val="left" w:pos="323"/>
              </w:tabs>
              <w:rPr>
                <w:szCs w:val="24"/>
                <w:lang w:eastAsia="lt-LT"/>
              </w:rPr>
            </w:pPr>
            <w:r>
              <w:rPr>
                <w:szCs w:val="24"/>
                <w:lang w:eastAsia="lt-LT"/>
              </w:rPr>
              <w:t xml:space="preserve">1.1.1. Organizuotų posėdžių skaičius. </w:t>
            </w:r>
          </w:p>
          <w:p w14:paraId="6AA025E7">
            <w:pPr>
              <w:tabs>
                <w:tab w:val="left" w:pos="323"/>
              </w:tabs>
              <w:rPr>
                <w:szCs w:val="24"/>
                <w:lang w:eastAsia="lt-LT"/>
              </w:rPr>
            </w:pPr>
          </w:p>
          <w:p w14:paraId="430668D2">
            <w:pPr>
              <w:tabs>
                <w:tab w:val="left" w:pos="323"/>
              </w:tabs>
              <w:rPr>
                <w:szCs w:val="24"/>
                <w:lang w:eastAsia="lt-LT"/>
              </w:rPr>
            </w:pPr>
            <w:r>
              <w:rPr>
                <w:szCs w:val="24"/>
                <w:lang w:eastAsia="lt-LT"/>
              </w:rPr>
              <w:t>1.2.1. Informacijos/skelbimų apie Antikorupcijos komisijos veiklą skaičius.</w:t>
            </w:r>
          </w:p>
          <w:p w14:paraId="02FEA074">
            <w:pPr>
              <w:tabs>
                <w:tab w:val="left" w:pos="323"/>
              </w:tabs>
              <w:rPr>
                <w:szCs w:val="24"/>
                <w:lang w:eastAsia="lt-LT"/>
              </w:rPr>
            </w:pPr>
          </w:p>
          <w:p w14:paraId="245DE781">
            <w:pPr>
              <w:tabs>
                <w:tab w:val="left" w:pos="323"/>
              </w:tabs>
              <w:rPr>
                <w:szCs w:val="24"/>
                <w:lang w:eastAsia="lt-LT"/>
              </w:rPr>
            </w:pPr>
          </w:p>
          <w:p w14:paraId="723A9660">
            <w:pPr>
              <w:tabs>
                <w:tab w:val="left" w:pos="323"/>
              </w:tabs>
              <w:rPr>
                <w:szCs w:val="24"/>
                <w:lang w:eastAsia="lt-LT"/>
              </w:rPr>
            </w:pPr>
          </w:p>
          <w:p w14:paraId="1271F196">
            <w:pPr>
              <w:tabs>
                <w:tab w:val="left" w:pos="323"/>
              </w:tabs>
              <w:rPr>
                <w:szCs w:val="24"/>
                <w:lang w:eastAsia="lt-LT"/>
              </w:rPr>
            </w:pPr>
          </w:p>
          <w:p w14:paraId="58E0C0CB">
            <w:pPr>
              <w:tabs>
                <w:tab w:val="left" w:pos="323"/>
              </w:tabs>
              <w:rPr>
                <w:szCs w:val="24"/>
                <w:lang w:eastAsia="lt-LT"/>
              </w:rPr>
            </w:pPr>
            <w:r>
              <w:rPr>
                <w:szCs w:val="24"/>
                <w:lang w:eastAsia="lt-LT"/>
              </w:rPr>
              <w:t>1.3.1. Dalyvavusių kviestinių asmenų skaičius.</w:t>
            </w:r>
          </w:p>
        </w:tc>
        <w:tc>
          <w:tcPr>
            <w:tcW w:w="3544" w:type="dxa"/>
          </w:tcPr>
          <w:p w14:paraId="3DFFC732">
            <w:pPr>
              <w:tabs>
                <w:tab w:val="left" w:pos="323"/>
              </w:tabs>
              <w:rPr>
                <w:szCs w:val="24"/>
                <w:lang w:eastAsia="lt-LT"/>
              </w:rPr>
            </w:pPr>
            <w:r>
              <w:rPr>
                <w:szCs w:val="24"/>
                <w:lang w:eastAsia="lt-LT"/>
              </w:rPr>
              <w:t>1.1.1. Vadovaujantis Nuostatų 18 p., Komisija į posėdžius renkasi ne rečiau kaip vieną kartą per pusę metų.  2025 m. suorganizuoti du Komisijos posėdžiai.</w:t>
            </w:r>
          </w:p>
          <w:p w14:paraId="703711F3">
            <w:pPr>
              <w:tabs>
                <w:tab w:val="left" w:pos="323"/>
              </w:tabs>
              <w:rPr>
                <w:szCs w:val="24"/>
                <w:lang w:eastAsia="lt-LT"/>
              </w:rPr>
            </w:pPr>
          </w:p>
          <w:p w14:paraId="1357A91C">
            <w:pPr>
              <w:tabs>
                <w:tab w:val="left" w:pos="323"/>
              </w:tabs>
              <w:rPr>
                <w:szCs w:val="24"/>
                <w:lang w:eastAsia="lt-LT"/>
              </w:rPr>
            </w:pPr>
            <w:r>
              <w:rPr>
                <w:szCs w:val="24"/>
                <w:lang w:eastAsia="lt-LT"/>
              </w:rPr>
              <w:t xml:space="preserve">1.2.1. Informacija apie Komisijos veiklą skelbiama </w:t>
            </w:r>
            <w:r>
              <w:fldChar w:fldCharType="begin"/>
            </w:r>
            <w:r>
              <w:instrText xml:space="preserve"> HYPERLINK "https://vrsa.lt/tarybos-veikla/komisijos/vilniaus-rajono-savivaldybes-tarybos-antikorupcijos-komisija/1360" </w:instrText>
            </w:r>
            <w:r>
              <w:fldChar w:fldCharType="separate"/>
            </w:r>
            <w:r>
              <w:rPr>
                <w:rStyle w:val="9"/>
                <w:szCs w:val="24"/>
                <w:lang w:eastAsia="lt-LT"/>
              </w:rPr>
              <w:t>https://vrsa.lt/tarybos-veikla/komisijos/vilniaus-rajono-savivaldybes-tarybos-antikorupcijos-komisija/1360</w:t>
            </w:r>
            <w:r>
              <w:rPr>
                <w:rStyle w:val="9"/>
                <w:szCs w:val="24"/>
                <w:lang w:eastAsia="lt-LT"/>
              </w:rPr>
              <w:fldChar w:fldCharType="end"/>
            </w:r>
            <w:r>
              <w:rPr>
                <w:szCs w:val="24"/>
                <w:lang w:eastAsia="lt-LT"/>
              </w:rPr>
              <w:t xml:space="preserve"> </w:t>
            </w:r>
          </w:p>
          <w:p w14:paraId="73A2B429">
            <w:pPr>
              <w:tabs>
                <w:tab w:val="left" w:pos="323"/>
              </w:tabs>
              <w:rPr>
                <w:szCs w:val="24"/>
                <w:lang w:eastAsia="lt-LT"/>
              </w:rPr>
            </w:pPr>
          </w:p>
          <w:p w14:paraId="77AEF58D">
            <w:pPr>
              <w:tabs>
                <w:tab w:val="left" w:pos="323"/>
              </w:tabs>
              <w:rPr>
                <w:szCs w:val="24"/>
                <w:lang w:eastAsia="lt-LT"/>
              </w:rPr>
            </w:pPr>
            <w:r>
              <w:rPr>
                <w:szCs w:val="24"/>
                <w:lang w:eastAsia="lt-LT"/>
              </w:rPr>
              <w:t>1.3.1. Posėdžiuose pagal poreikį dalyvauja Vilniaus rajono savivaldybės Vyr. specialistas (korupcijos prevencijos specialistas), Teisės skyriaus atstovai.</w:t>
            </w:r>
          </w:p>
        </w:tc>
      </w:tr>
      <w:tr w14:paraId="1A934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0" w:type="dxa"/>
          </w:tcPr>
          <w:p w14:paraId="5D4D11C8">
            <w:pPr>
              <w:jc w:val="both"/>
              <w:rPr>
                <w:szCs w:val="24"/>
                <w:lang w:eastAsia="lt-LT"/>
              </w:rPr>
            </w:pPr>
            <w:r>
              <w:rPr>
                <w:szCs w:val="24"/>
                <w:lang w:eastAsia="lt-LT"/>
              </w:rPr>
              <w:t>2.</w:t>
            </w:r>
          </w:p>
        </w:tc>
        <w:tc>
          <w:tcPr>
            <w:tcW w:w="1977" w:type="dxa"/>
          </w:tcPr>
          <w:p w14:paraId="70B01406">
            <w:pPr>
              <w:jc w:val="both"/>
              <w:rPr>
                <w:szCs w:val="24"/>
                <w:lang w:eastAsia="lt-LT"/>
              </w:rPr>
            </w:pPr>
            <w:r>
              <w:rPr>
                <w:szCs w:val="24"/>
                <w:lang w:eastAsia="lt-LT"/>
              </w:rPr>
              <w:t>Bendradarbiauti su valstybės institucijomis, savivaldybės įstaigomis, bendruomenėmis, siekiant skatinti visuomenės nepakantumą korupcijos apraiškoms.</w:t>
            </w:r>
          </w:p>
        </w:tc>
        <w:tc>
          <w:tcPr>
            <w:tcW w:w="5386" w:type="dxa"/>
          </w:tcPr>
          <w:p w14:paraId="341F8A66">
            <w:pPr>
              <w:jc w:val="both"/>
              <w:rPr>
                <w:szCs w:val="24"/>
                <w:lang w:eastAsia="lt-LT"/>
              </w:rPr>
            </w:pPr>
            <w:r>
              <w:rPr>
                <w:szCs w:val="24"/>
                <w:lang w:eastAsia="lt-LT"/>
              </w:rPr>
              <w:t>2.1. Susipažinti su Lietuvos Respublikos specialiųjų tyrimų tarnybos (STT) atliktos korupcijos rizikos analizės pasiūlymais, juos apsvarstyti ir pasiūlyti priemones STT nustatytiems korupcijos rizikos veiksniams šalinti.</w:t>
            </w:r>
          </w:p>
          <w:p w14:paraId="0B772279">
            <w:pPr>
              <w:jc w:val="both"/>
              <w:rPr>
                <w:szCs w:val="24"/>
                <w:lang w:eastAsia="lt-LT"/>
              </w:rPr>
            </w:pPr>
            <w:r>
              <w:rPr>
                <w:szCs w:val="24"/>
                <w:lang w:eastAsia="lt-LT"/>
              </w:rPr>
              <w:t>2.2. Nagrinėti savivaldybės bendruomeninių organizacijų, gyventojų, Vilniaus rajono savivaldybės tarybos narių, savivaldybės administracijos atstovų ir darbuotojų, savivaldybės įstaigų atstovų siūlymus ir pastebėjimus dėl kovos su korupcija priemonių vykdymo.</w:t>
            </w:r>
          </w:p>
          <w:p w14:paraId="733571C4">
            <w:pPr>
              <w:jc w:val="both"/>
              <w:rPr>
                <w:szCs w:val="24"/>
                <w:lang w:eastAsia="lt-LT"/>
              </w:rPr>
            </w:pPr>
            <w:r>
              <w:rPr>
                <w:szCs w:val="24"/>
                <w:lang w:eastAsia="lt-LT"/>
              </w:rPr>
              <w:t>2.3. Nagrinėti gyventojų pateiktus skundus ir pranešimus.</w:t>
            </w:r>
          </w:p>
          <w:p w14:paraId="2DFD1960">
            <w:pPr>
              <w:jc w:val="both"/>
              <w:rPr>
                <w:szCs w:val="24"/>
                <w:lang w:eastAsia="lt-LT"/>
              </w:rPr>
            </w:pPr>
            <w:r>
              <w:rPr>
                <w:szCs w:val="24"/>
                <w:lang w:eastAsia="lt-LT"/>
              </w:rPr>
              <w:t xml:space="preserve">2.4. Teikti STT ir (ar) kitoms atsakingoms institucijoms gautą informaciją apie korupcinio pobūdžio nusikalstamas veikas. </w:t>
            </w:r>
          </w:p>
        </w:tc>
        <w:tc>
          <w:tcPr>
            <w:tcW w:w="3402" w:type="dxa"/>
          </w:tcPr>
          <w:p w14:paraId="51991690">
            <w:pPr>
              <w:jc w:val="both"/>
              <w:rPr>
                <w:szCs w:val="24"/>
                <w:lang w:eastAsia="lt-LT"/>
              </w:rPr>
            </w:pPr>
            <w:r>
              <w:rPr>
                <w:szCs w:val="24"/>
                <w:lang w:eastAsia="lt-LT"/>
              </w:rPr>
              <w:t>2.1.1. Pasiūlytų priemonių skaičius.</w:t>
            </w:r>
          </w:p>
          <w:p w14:paraId="1597CBFA">
            <w:pPr>
              <w:jc w:val="both"/>
              <w:rPr>
                <w:szCs w:val="24"/>
                <w:lang w:eastAsia="lt-LT"/>
              </w:rPr>
            </w:pPr>
          </w:p>
          <w:p w14:paraId="6B8638A7">
            <w:pPr>
              <w:jc w:val="both"/>
              <w:rPr>
                <w:szCs w:val="24"/>
                <w:lang w:eastAsia="lt-LT"/>
              </w:rPr>
            </w:pPr>
          </w:p>
          <w:p w14:paraId="68F85E9E">
            <w:pPr>
              <w:jc w:val="both"/>
              <w:rPr>
                <w:szCs w:val="24"/>
                <w:lang w:eastAsia="lt-LT"/>
              </w:rPr>
            </w:pPr>
          </w:p>
          <w:p w14:paraId="607D7A78">
            <w:pPr>
              <w:jc w:val="both"/>
              <w:rPr>
                <w:szCs w:val="24"/>
                <w:lang w:eastAsia="lt-LT"/>
              </w:rPr>
            </w:pPr>
            <w:r>
              <w:rPr>
                <w:szCs w:val="24"/>
                <w:lang w:eastAsia="lt-LT"/>
              </w:rPr>
              <w:t>2.2.1. Gautų ir išnagrinėtų siūlymų skaičius.</w:t>
            </w:r>
          </w:p>
          <w:p w14:paraId="7925E9B6">
            <w:pPr>
              <w:jc w:val="both"/>
              <w:rPr>
                <w:szCs w:val="24"/>
                <w:lang w:eastAsia="lt-LT"/>
              </w:rPr>
            </w:pPr>
          </w:p>
          <w:p w14:paraId="645ACC62">
            <w:pPr>
              <w:jc w:val="both"/>
              <w:rPr>
                <w:szCs w:val="24"/>
                <w:lang w:eastAsia="lt-LT"/>
              </w:rPr>
            </w:pPr>
          </w:p>
          <w:p w14:paraId="1252121D">
            <w:pPr>
              <w:jc w:val="both"/>
              <w:rPr>
                <w:szCs w:val="24"/>
                <w:lang w:eastAsia="lt-LT"/>
              </w:rPr>
            </w:pPr>
          </w:p>
          <w:p w14:paraId="6189CE32">
            <w:pPr>
              <w:jc w:val="both"/>
              <w:rPr>
                <w:szCs w:val="24"/>
                <w:lang w:eastAsia="lt-LT"/>
              </w:rPr>
            </w:pPr>
          </w:p>
          <w:p w14:paraId="7DFC0C5D">
            <w:pPr>
              <w:jc w:val="both"/>
              <w:rPr>
                <w:szCs w:val="24"/>
                <w:lang w:eastAsia="lt-LT"/>
              </w:rPr>
            </w:pPr>
            <w:r>
              <w:rPr>
                <w:szCs w:val="24"/>
                <w:lang w:eastAsia="lt-LT"/>
              </w:rPr>
              <w:t>2.3.1. Gautų ir išnagrinėtų skundų skaičius.</w:t>
            </w:r>
          </w:p>
          <w:p w14:paraId="61C340A1">
            <w:pPr>
              <w:jc w:val="both"/>
              <w:rPr>
                <w:szCs w:val="24"/>
                <w:lang w:eastAsia="lt-LT"/>
              </w:rPr>
            </w:pPr>
            <w:r>
              <w:rPr>
                <w:szCs w:val="24"/>
                <w:lang w:eastAsia="lt-LT"/>
              </w:rPr>
              <w:t>2.4.1. Esant būtinybei, pranešimų atsakingoms institucijoms skaičius.</w:t>
            </w:r>
          </w:p>
        </w:tc>
        <w:tc>
          <w:tcPr>
            <w:tcW w:w="3544" w:type="dxa"/>
          </w:tcPr>
          <w:p w14:paraId="2C171925">
            <w:pPr>
              <w:jc w:val="both"/>
              <w:rPr>
                <w:szCs w:val="24"/>
                <w:lang w:eastAsia="lt-LT"/>
              </w:rPr>
            </w:pPr>
            <w:r>
              <w:rPr>
                <w:szCs w:val="24"/>
                <w:lang w:eastAsia="lt-LT"/>
              </w:rPr>
              <w:t>2.1.1. VRSA pateikta rekomendacija dėl vykdomų konkursų paramai gauti skaidrumo užtikrinimo.</w:t>
            </w:r>
          </w:p>
          <w:p w14:paraId="7CA9E15A">
            <w:pPr>
              <w:jc w:val="both"/>
              <w:rPr>
                <w:szCs w:val="24"/>
                <w:lang w:eastAsia="lt-LT"/>
              </w:rPr>
            </w:pPr>
          </w:p>
          <w:p w14:paraId="7D3702F3">
            <w:pPr>
              <w:jc w:val="both"/>
              <w:rPr>
                <w:szCs w:val="24"/>
                <w:lang w:eastAsia="lt-LT"/>
              </w:rPr>
            </w:pPr>
            <w:r>
              <w:rPr>
                <w:szCs w:val="24"/>
                <w:lang w:eastAsia="lt-LT"/>
              </w:rPr>
              <w:t>2.2.1. Siūlymų ir pastebėjimų negauta.</w:t>
            </w:r>
          </w:p>
          <w:p w14:paraId="39AACBB1">
            <w:pPr>
              <w:jc w:val="both"/>
              <w:rPr>
                <w:szCs w:val="24"/>
                <w:lang w:eastAsia="lt-LT"/>
              </w:rPr>
            </w:pPr>
          </w:p>
          <w:p w14:paraId="2256B3BF">
            <w:pPr>
              <w:jc w:val="both"/>
              <w:rPr>
                <w:szCs w:val="24"/>
                <w:lang w:eastAsia="lt-LT"/>
              </w:rPr>
            </w:pPr>
          </w:p>
          <w:p w14:paraId="23EBFE8D">
            <w:pPr>
              <w:jc w:val="both"/>
              <w:rPr>
                <w:szCs w:val="24"/>
                <w:lang w:eastAsia="lt-LT"/>
              </w:rPr>
            </w:pPr>
          </w:p>
          <w:p w14:paraId="6D389102">
            <w:pPr>
              <w:jc w:val="both"/>
              <w:rPr>
                <w:szCs w:val="24"/>
                <w:lang w:eastAsia="lt-LT"/>
              </w:rPr>
            </w:pPr>
          </w:p>
          <w:p w14:paraId="3BD43C9F">
            <w:pPr>
              <w:jc w:val="both"/>
              <w:rPr>
                <w:szCs w:val="24"/>
                <w:lang w:eastAsia="lt-LT"/>
              </w:rPr>
            </w:pPr>
            <w:r>
              <w:rPr>
                <w:szCs w:val="24"/>
                <w:lang w:eastAsia="lt-LT"/>
              </w:rPr>
              <w:t>2.3.1. Skundų negauta.</w:t>
            </w:r>
          </w:p>
          <w:p w14:paraId="79AED3B5">
            <w:pPr>
              <w:jc w:val="both"/>
              <w:rPr>
                <w:szCs w:val="24"/>
                <w:lang w:eastAsia="lt-LT"/>
              </w:rPr>
            </w:pPr>
          </w:p>
          <w:p w14:paraId="72194A6A">
            <w:pPr>
              <w:jc w:val="both"/>
              <w:rPr>
                <w:szCs w:val="24"/>
                <w:lang w:eastAsia="lt-LT"/>
              </w:rPr>
            </w:pPr>
            <w:r>
              <w:rPr>
                <w:szCs w:val="24"/>
                <w:lang w:eastAsia="lt-LT"/>
              </w:rPr>
              <w:t>2.4.1. Informacijos negauta.</w:t>
            </w:r>
          </w:p>
        </w:tc>
      </w:tr>
      <w:tr w14:paraId="13E28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0" w:type="dxa"/>
          </w:tcPr>
          <w:p w14:paraId="1F56817D">
            <w:pPr>
              <w:jc w:val="both"/>
              <w:rPr>
                <w:szCs w:val="24"/>
                <w:lang w:eastAsia="lt-LT"/>
              </w:rPr>
            </w:pPr>
            <w:r>
              <w:rPr>
                <w:szCs w:val="24"/>
                <w:lang w:eastAsia="lt-LT"/>
              </w:rPr>
              <w:t xml:space="preserve">3. </w:t>
            </w:r>
          </w:p>
        </w:tc>
        <w:tc>
          <w:tcPr>
            <w:tcW w:w="1977" w:type="dxa"/>
          </w:tcPr>
          <w:p w14:paraId="54B25DF1">
            <w:pPr>
              <w:jc w:val="both"/>
              <w:rPr>
                <w:szCs w:val="24"/>
                <w:lang w:eastAsia="lt-LT"/>
              </w:rPr>
            </w:pPr>
            <w:r>
              <w:rPr>
                <w:szCs w:val="24"/>
                <w:lang w:eastAsia="lt-LT"/>
              </w:rPr>
              <w:t>Dalyvauti įgyvendinant Vilniaus rajono savivaldybės korupcijos prevencijos 2016-2025 metų programą ir Vilniaus rajono savivaldybės korupcijos prevencijos 2016-2025 metų programos įgyvendinimo priemonių planą</w:t>
            </w:r>
          </w:p>
        </w:tc>
        <w:tc>
          <w:tcPr>
            <w:tcW w:w="5386" w:type="dxa"/>
          </w:tcPr>
          <w:p w14:paraId="40016DF6">
            <w:pPr>
              <w:jc w:val="both"/>
              <w:rPr>
                <w:szCs w:val="24"/>
                <w:lang w:eastAsia="lt-LT"/>
              </w:rPr>
            </w:pPr>
            <w:r>
              <w:rPr>
                <w:szCs w:val="24"/>
                <w:lang w:eastAsia="lt-LT"/>
              </w:rPr>
              <w:t>3.1. Dalyvauti įgyvendinant Vilniaus rajono savivaldybės korupcijos prevencijos 2016-2025 metų programą, teikti išvadas ir pasiūlymus dėl pasiektų rezultatų.</w:t>
            </w:r>
          </w:p>
          <w:p w14:paraId="59CAD5F8">
            <w:pPr>
              <w:jc w:val="both"/>
              <w:rPr>
                <w:szCs w:val="24"/>
                <w:lang w:eastAsia="lt-LT"/>
              </w:rPr>
            </w:pPr>
            <w:r>
              <w:rPr>
                <w:szCs w:val="24"/>
                <w:lang w:eastAsia="lt-LT"/>
              </w:rPr>
              <w:t>3.2. Vykdyti Vilniaus rajono savivaldybės korupcijos prevencijos 2016-2025 metų programos įgyvendinimo priemonių plane numatytas priemones, jų įgyvendinimo stebėseną.</w:t>
            </w:r>
          </w:p>
        </w:tc>
        <w:tc>
          <w:tcPr>
            <w:tcW w:w="3402" w:type="dxa"/>
          </w:tcPr>
          <w:p w14:paraId="383F2557">
            <w:pPr>
              <w:jc w:val="both"/>
              <w:rPr>
                <w:szCs w:val="24"/>
                <w:lang w:eastAsia="lt-LT"/>
              </w:rPr>
            </w:pPr>
            <w:r>
              <w:rPr>
                <w:szCs w:val="24"/>
                <w:lang w:eastAsia="lt-LT"/>
              </w:rPr>
              <w:t>3.1.1. Korupcijos prevencijos veiklos rezultatų viešinimas.</w:t>
            </w:r>
          </w:p>
          <w:p w14:paraId="2A50D6CD">
            <w:pPr>
              <w:jc w:val="both"/>
              <w:rPr>
                <w:szCs w:val="24"/>
                <w:lang w:eastAsia="lt-LT"/>
              </w:rPr>
            </w:pPr>
          </w:p>
          <w:p w14:paraId="7F040D4A">
            <w:pPr>
              <w:jc w:val="both"/>
              <w:rPr>
                <w:szCs w:val="24"/>
                <w:lang w:eastAsia="lt-LT"/>
              </w:rPr>
            </w:pPr>
          </w:p>
          <w:p w14:paraId="557F68C1">
            <w:pPr>
              <w:jc w:val="both"/>
              <w:rPr>
                <w:szCs w:val="24"/>
                <w:lang w:eastAsia="lt-LT"/>
              </w:rPr>
            </w:pPr>
            <w:r>
              <w:rPr>
                <w:szCs w:val="24"/>
                <w:lang w:eastAsia="lt-LT"/>
              </w:rPr>
              <w:t>3.2.1. Įgyvendintos priemonių plano priemonės.</w:t>
            </w:r>
          </w:p>
        </w:tc>
        <w:tc>
          <w:tcPr>
            <w:tcW w:w="3544" w:type="dxa"/>
          </w:tcPr>
          <w:p w14:paraId="7D2A1654">
            <w:pPr>
              <w:jc w:val="both"/>
              <w:rPr>
                <w:szCs w:val="24"/>
                <w:lang w:eastAsia="lt-LT"/>
              </w:rPr>
            </w:pPr>
            <w:r>
              <w:rPr>
                <w:szCs w:val="24"/>
                <w:lang w:eastAsia="lt-LT"/>
              </w:rPr>
              <w:t xml:space="preserve">3.1.1. Komisija veikia įstatymų ir Nuostatų nustatyta tvarka ir nustatytų funkcijų apimtyje. Informacija viešinama </w:t>
            </w:r>
            <w:r>
              <w:fldChar w:fldCharType="begin"/>
            </w:r>
            <w:r>
              <w:instrText xml:space="preserve"> HYPERLINK "https://vrsa.lt/tarybos-veikla/komisijos/vilniaus-rajono-savivaldybes-tarybos-antikorupcijos-komisija/1360" </w:instrText>
            </w:r>
            <w:r>
              <w:fldChar w:fldCharType="separate"/>
            </w:r>
            <w:r>
              <w:rPr>
                <w:rStyle w:val="9"/>
                <w:szCs w:val="24"/>
                <w:lang w:eastAsia="lt-LT"/>
              </w:rPr>
              <w:t>https://vrsa.lt/tarybos-veikla/komisijos/vilniaus-rajono-savivaldybes-tarybos-antikorupcijos-komisija/1360</w:t>
            </w:r>
            <w:r>
              <w:rPr>
                <w:rStyle w:val="9"/>
                <w:szCs w:val="24"/>
                <w:lang w:eastAsia="lt-LT"/>
              </w:rPr>
              <w:fldChar w:fldCharType="end"/>
            </w:r>
            <w:r>
              <w:rPr>
                <w:szCs w:val="24"/>
                <w:lang w:eastAsia="lt-LT"/>
              </w:rPr>
              <w:t xml:space="preserve"> </w:t>
            </w:r>
          </w:p>
          <w:p w14:paraId="01437121">
            <w:pPr>
              <w:jc w:val="both"/>
              <w:rPr>
                <w:szCs w:val="24"/>
                <w:lang w:eastAsia="lt-LT"/>
              </w:rPr>
            </w:pPr>
          </w:p>
          <w:p w14:paraId="32429362">
            <w:pPr>
              <w:jc w:val="both"/>
              <w:rPr>
                <w:szCs w:val="24"/>
                <w:lang w:eastAsia="lt-LT"/>
              </w:rPr>
            </w:pPr>
            <w:r>
              <w:rPr>
                <w:szCs w:val="24"/>
                <w:lang w:eastAsia="lt-LT"/>
              </w:rPr>
              <w:t xml:space="preserve">3.2.1. Komisija veikia įstatymų ir Nuostatų nustatyta tvarka ir nustatytų funkcijų apimtyje. Informacija viešinama </w:t>
            </w:r>
            <w:r>
              <w:fldChar w:fldCharType="begin"/>
            </w:r>
            <w:r>
              <w:instrText xml:space="preserve"> HYPERLINK "https://vrsa.lt/tarybos-veikla/komisijos/vilniaus-rajono-savivaldybes-tarybos-antikorupcijos-komisija/1360" </w:instrText>
            </w:r>
            <w:r>
              <w:fldChar w:fldCharType="separate"/>
            </w:r>
            <w:r>
              <w:rPr>
                <w:rStyle w:val="9"/>
                <w:szCs w:val="24"/>
                <w:lang w:eastAsia="lt-LT"/>
              </w:rPr>
              <w:t>https://vrsa.lt/tarybos-veikla/komisijos/vilniaus-rajono-savivaldybes-tarybos-antikorupcijos-komisija/1360</w:t>
            </w:r>
            <w:r>
              <w:rPr>
                <w:rStyle w:val="9"/>
                <w:szCs w:val="24"/>
                <w:lang w:eastAsia="lt-LT"/>
              </w:rPr>
              <w:fldChar w:fldCharType="end"/>
            </w:r>
          </w:p>
        </w:tc>
      </w:tr>
      <w:tr w14:paraId="1D415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0" w:type="dxa"/>
          </w:tcPr>
          <w:p w14:paraId="637AB908">
            <w:pPr>
              <w:jc w:val="both"/>
              <w:rPr>
                <w:szCs w:val="24"/>
                <w:lang w:eastAsia="lt-LT"/>
              </w:rPr>
            </w:pPr>
            <w:r>
              <w:rPr>
                <w:szCs w:val="24"/>
                <w:lang w:eastAsia="lt-LT"/>
              </w:rPr>
              <w:t>4.</w:t>
            </w:r>
          </w:p>
        </w:tc>
        <w:tc>
          <w:tcPr>
            <w:tcW w:w="1977" w:type="dxa"/>
          </w:tcPr>
          <w:p w14:paraId="76195992">
            <w:pPr>
              <w:jc w:val="both"/>
              <w:rPr>
                <w:szCs w:val="24"/>
                <w:lang w:eastAsia="lt-LT"/>
              </w:rPr>
            </w:pPr>
            <w:r>
              <w:rPr>
                <w:szCs w:val="24"/>
                <w:lang w:eastAsia="lt-LT"/>
              </w:rPr>
              <w:t>Vilniaus rajono savivaldybės tarybos reglamento nustatyta tvarka, savivaldybės tarybos, mero ar savivaldybės administracijos direktoriaus iniciatyva dalyvauti atliekant savivaldybės institucijų parengtų teisės aktų projektų antikorupcinį vertinimą.</w:t>
            </w:r>
          </w:p>
        </w:tc>
        <w:tc>
          <w:tcPr>
            <w:tcW w:w="5386" w:type="dxa"/>
          </w:tcPr>
          <w:p w14:paraId="458E24EF">
            <w:pPr>
              <w:jc w:val="both"/>
              <w:rPr>
                <w:szCs w:val="24"/>
                <w:lang w:eastAsia="lt-LT"/>
              </w:rPr>
            </w:pPr>
            <w:r>
              <w:rPr>
                <w:szCs w:val="24"/>
                <w:lang w:eastAsia="lt-LT"/>
              </w:rPr>
              <w:t>4.1. Pagal poreikį teikti siūlymus/pastabas dėl savivaldybės teisės aktų projektų antikorupcinio vertinimo pažymų.</w:t>
            </w:r>
          </w:p>
        </w:tc>
        <w:tc>
          <w:tcPr>
            <w:tcW w:w="3402" w:type="dxa"/>
          </w:tcPr>
          <w:p w14:paraId="792BB811">
            <w:pPr>
              <w:jc w:val="both"/>
              <w:rPr>
                <w:szCs w:val="24"/>
                <w:lang w:eastAsia="lt-LT"/>
              </w:rPr>
            </w:pPr>
            <w:r>
              <w:rPr>
                <w:szCs w:val="24"/>
                <w:lang w:eastAsia="lt-LT"/>
              </w:rPr>
              <w:t>4.1.1. Apsvarstytų siūlymų skaičius.</w:t>
            </w:r>
          </w:p>
        </w:tc>
        <w:tc>
          <w:tcPr>
            <w:tcW w:w="3544" w:type="dxa"/>
          </w:tcPr>
          <w:p w14:paraId="694FB1C5">
            <w:pPr>
              <w:jc w:val="both"/>
              <w:rPr>
                <w:szCs w:val="24"/>
                <w:lang w:eastAsia="lt-LT"/>
              </w:rPr>
            </w:pPr>
            <w:r>
              <w:rPr>
                <w:szCs w:val="24"/>
                <w:lang w:eastAsia="lt-LT"/>
              </w:rPr>
              <w:t>4.1.1. Siūlymų svarstymui nepateikta.</w:t>
            </w:r>
          </w:p>
        </w:tc>
      </w:tr>
      <w:tr w14:paraId="62892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0" w:type="dxa"/>
          </w:tcPr>
          <w:p w14:paraId="07DA0E72">
            <w:pPr>
              <w:jc w:val="both"/>
              <w:rPr>
                <w:szCs w:val="24"/>
                <w:lang w:eastAsia="lt-LT"/>
              </w:rPr>
            </w:pPr>
            <w:r>
              <w:rPr>
                <w:szCs w:val="24"/>
                <w:lang w:eastAsia="lt-LT"/>
              </w:rPr>
              <w:t xml:space="preserve">5. </w:t>
            </w:r>
          </w:p>
        </w:tc>
        <w:tc>
          <w:tcPr>
            <w:tcW w:w="1977" w:type="dxa"/>
          </w:tcPr>
          <w:p w14:paraId="5368D0E1">
            <w:pPr>
              <w:jc w:val="both"/>
              <w:rPr>
                <w:szCs w:val="24"/>
                <w:lang w:eastAsia="lt-LT"/>
              </w:rPr>
            </w:pPr>
            <w:r>
              <w:rPr>
                <w:szCs w:val="24"/>
                <w:lang w:eastAsia="lt-LT"/>
              </w:rPr>
              <w:t>Tobulinti žinias korupcijos prevencijos tema.</w:t>
            </w:r>
          </w:p>
        </w:tc>
        <w:tc>
          <w:tcPr>
            <w:tcW w:w="5386" w:type="dxa"/>
          </w:tcPr>
          <w:p w14:paraId="77221AAE">
            <w:pPr>
              <w:jc w:val="both"/>
              <w:rPr>
                <w:szCs w:val="24"/>
                <w:lang w:eastAsia="lt-LT"/>
              </w:rPr>
            </w:pPr>
            <w:r>
              <w:rPr>
                <w:szCs w:val="24"/>
                <w:lang w:eastAsia="lt-LT"/>
              </w:rPr>
              <w:t>5.1. Dalyvauti seminaruose, konferencijose, mokymuose, renginiuose antikorupcijos temomis.</w:t>
            </w:r>
          </w:p>
        </w:tc>
        <w:tc>
          <w:tcPr>
            <w:tcW w:w="3402" w:type="dxa"/>
          </w:tcPr>
          <w:p w14:paraId="72668855">
            <w:pPr>
              <w:jc w:val="both"/>
              <w:rPr>
                <w:szCs w:val="24"/>
                <w:lang w:eastAsia="lt-LT"/>
              </w:rPr>
            </w:pPr>
            <w:r>
              <w:rPr>
                <w:szCs w:val="24"/>
                <w:lang w:eastAsia="lt-LT"/>
              </w:rPr>
              <w:t>5.1.1. Seminarų, konferencijų, mokymų, renginių, kuriuose sudalyvavo Komisijos nariai, skaičius.</w:t>
            </w:r>
          </w:p>
        </w:tc>
        <w:tc>
          <w:tcPr>
            <w:tcW w:w="3544" w:type="dxa"/>
          </w:tcPr>
          <w:p w14:paraId="139FA024">
            <w:pPr>
              <w:jc w:val="both"/>
              <w:rPr>
                <w:szCs w:val="24"/>
                <w:lang w:eastAsia="lt-LT"/>
              </w:rPr>
            </w:pPr>
            <w:r>
              <w:rPr>
                <w:szCs w:val="24"/>
                <w:lang w:eastAsia="lt-LT"/>
              </w:rPr>
              <w:t>5.1.1. Komisijos nar</w:t>
            </w:r>
            <w:r>
              <w:rPr>
                <w:rFonts w:hint="default"/>
                <w:szCs w:val="24"/>
                <w:lang w:val="en-US" w:eastAsia="lt-LT"/>
              </w:rPr>
              <w:t>iai</w:t>
            </w:r>
            <w:r>
              <w:rPr>
                <w:szCs w:val="24"/>
                <w:lang w:eastAsia="lt-LT"/>
              </w:rPr>
              <w:t xml:space="preserve"> Stasys Mušeikis</w:t>
            </w:r>
            <w:r>
              <w:rPr>
                <w:rFonts w:hint="default"/>
                <w:szCs w:val="24"/>
                <w:lang w:val="en-US" w:eastAsia="lt-LT"/>
              </w:rPr>
              <w:t xml:space="preserve"> ir Robert </w:t>
            </w:r>
            <w:r>
              <w:rPr>
                <w:rFonts w:hint="default" w:ascii="Times New Roman" w:hAnsi="Times New Roman" w:eastAsia="sans-serif" w:cs="Times New Roman"/>
                <w:i w:val="0"/>
                <w:iCs w:val="0"/>
                <w:caps w:val="0"/>
                <w:color w:val="000000"/>
                <w:spacing w:val="0"/>
                <w:sz w:val="24"/>
                <w:szCs w:val="24"/>
                <w:shd w:val="clear" w:fill="FFFFFF"/>
              </w:rPr>
              <w:t>Rackiewicz</w:t>
            </w:r>
            <w:r>
              <w:rPr>
                <w:szCs w:val="24"/>
                <w:lang w:eastAsia="lt-LT"/>
              </w:rPr>
              <w:t xml:space="preserve"> dalyvavo STT organizuotuose mokymuose.</w:t>
            </w:r>
          </w:p>
        </w:tc>
      </w:tr>
    </w:tbl>
    <w:p w14:paraId="0B8E21AA">
      <w:pPr>
        <w:ind w:firstLine="567"/>
        <w:jc w:val="both"/>
        <w:rPr>
          <w:szCs w:val="24"/>
          <w:lang w:eastAsia="lt-LT"/>
        </w:rPr>
      </w:pPr>
    </w:p>
    <w:p w14:paraId="107171CE">
      <w:pPr>
        <w:ind w:firstLine="567"/>
        <w:jc w:val="both"/>
        <w:rPr>
          <w:szCs w:val="24"/>
          <w:lang w:eastAsia="lt-LT"/>
        </w:rPr>
      </w:pPr>
      <w:r>
        <w:rPr>
          <w:szCs w:val="24"/>
          <w:lang w:eastAsia="lt-LT"/>
        </w:rPr>
        <w:t>Vilniaus rajono savivaldybės tarybos Antikorupcijos komisijos pirmininkė</w:t>
      </w:r>
      <w:r>
        <w:rPr>
          <w:szCs w:val="24"/>
          <w:lang w:eastAsia="lt-LT"/>
        </w:rPr>
        <w:tab/>
      </w:r>
      <w:r>
        <w:rPr>
          <w:szCs w:val="24"/>
          <w:lang w:eastAsia="lt-LT"/>
        </w:rPr>
        <w:tab/>
      </w:r>
      <w:r>
        <w:rPr>
          <w:szCs w:val="24"/>
          <w:lang w:eastAsia="lt-LT"/>
        </w:rPr>
        <w:tab/>
      </w:r>
      <w:r>
        <w:rPr>
          <w:szCs w:val="24"/>
          <w:lang w:eastAsia="lt-LT"/>
        </w:rPr>
        <w:tab/>
      </w:r>
      <w:r>
        <w:rPr>
          <w:szCs w:val="24"/>
          <w:lang w:eastAsia="lt-LT"/>
        </w:rPr>
        <w:tab/>
      </w:r>
      <w:r>
        <w:rPr>
          <w:szCs w:val="24"/>
          <w:lang w:eastAsia="lt-LT"/>
        </w:rPr>
        <w:t>Rūta Carik</w:t>
      </w:r>
    </w:p>
    <w:sectPr>
      <w:headerReference r:id="rId5" w:type="first"/>
      <w:footerReference r:id="rId8" w:type="first"/>
      <w:headerReference r:id="rId3" w:type="default"/>
      <w:footerReference r:id="rId6" w:type="default"/>
      <w:headerReference r:id="rId4" w:type="even"/>
      <w:footerReference r:id="rId7" w:type="even"/>
      <w:pgSz w:w="16840" w:h="11907" w:orient="landscape"/>
      <w:pgMar w:top="1701" w:right="1134" w:bottom="567" w:left="1134" w:header="567" w:footer="567" w:gutter="0"/>
      <w:pgNumType w:start="1"/>
      <w:cols w:space="1296" w:num="1"/>
      <w:titlePg/>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BA"/>
    <w:family w:val="swiss"/>
    <w:pitch w:val="default"/>
    <w:sig w:usb0="E4002EFF" w:usb1="C200247B" w:usb2="00000009" w:usb3="00000000" w:csb0="200001FF" w:csb1="00000000"/>
  </w:font>
  <w:font w:name="Malgun Gothic">
    <w:panose1 w:val="020B0503020000020004"/>
    <w:charset w:val="81"/>
    <w:family w:val="auto"/>
    <w:pitch w:val="default"/>
    <w:sig w:usb0="9000002F" w:usb1="29D77CFB" w:usb2="00000012" w:usb3="00000000" w:csb0="00080001" w:csb1="00000000"/>
  </w:font>
  <w:font w:name="TimesLT">
    <w:altName w:val="Times New Roman"/>
    <w:panose1 w:val="00000000000000000000"/>
    <w:charset w:val="BA"/>
    <w:family w:val="roman"/>
    <w:pitch w:val="default"/>
    <w:sig w:usb0="00000000" w:usb1="00000000" w:usb2="00000009" w:usb3="00000000" w:csb0="000001F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Microsoft YaHei">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4FFC7F">
    <w:pPr>
      <w:tabs>
        <w:tab w:val="center" w:pos="4819"/>
        <w:tab w:val="right" w:pos="9638"/>
      </w:tabs>
      <w:rPr>
        <w:szCs w:val="24"/>
        <w:lang w:eastAsia="lt-L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46869B">
    <w:pPr>
      <w:tabs>
        <w:tab w:val="center" w:pos="4819"/>
        <w:tab w:val="right" w:pos="9638"/>
      </w:tabs>
      <w:rPr>
        <w:szCs w:val="24"/>
        <w:lang w:eastAsia="lt-LT"/>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94F96B">
    <w:pPr>
      <w:tabs>
        <w:tab w:val="center" w:pos="4819"/>
        <w:tab w:val="right" w:pos="9638"/>
      </w:tabs>
      <w:rPr>
        <w:szCs w:val="24"/>
        <w:lang w:eastAsia="lt-LT"/>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54822022"/>
      <w:docPartObj>
        <w:docPartGallery w:val="AutoText"/>
      </w:docPartObj>
    </w:sdtPr>
    <w:sdtContent>
      <w:p w14:paraId="1001BB95">
        <w:pPr>
          <w:pStyle w:val="8"/>
          <w:jc w:val="center"/>
        </w:pPr>
        <w:r>
          <w:fldChar w:fldCharType="begin"/>
        </w:r>
        <w:r>
          <w:instrText xml:space="preserve">PAGE   \* MERGEFORMAT</w:instrText>
        </w:r>
        <w:r>
          <w:fldChar w:fldCharType="separate"/>
        </w:r>
        <w:r>
          <w:rPr>
            <w:lang w:val="lt-LT"/>
          </w:rPr>
          <w:t>5</w:t>
        </w:r>
        <w:r>
          <w:fldChar w:fldCharType="end"/>
        </w:r>
      </w:p>
    </w:sdtContent>
  </w:sdt>
  <w:p w14:paraId="2D85FCC0">
    <w:pPr>
      <w:tabs>
        <w:tab w:val="center" w:pos="4153"/>
        <w:tab w:val="right" w:pos="8306"/>
      </w:tabs>
      <w:rPr>
        <w:rFonts w:ascii="TimesLT" w:hAnsi="TimesLT"/>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DAF989">
    <w:pPr>
      <w:tabs>
        <w:tab w:val="center" w:pos="4153"/>
        <w:tab w:val="right" w:pos="8306"/>
      </w:tabs>
      <w:rPr>
        <w:rFonts w:ascii="TimesLT" w:hAnsi="TimesLT"/>
        <w:lang w:val="en-U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7579FF">
    <w:pPr>
      <w:tabs>
        <w:tab w:val="center" w:pos="4153"/>
        <w:tab w:val="right" w:pos="8306"/>
      </w:tabs>
      <w:rPr>
        <w:rFonts w:ascii="TimesLT" w:hAnsi="TimesLT"/>
        <w:lang w:val="en-U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1296"/>
  <w:hyphenationZone w:val="396"/>
  <w:doNotHyphenateCaps/>
  <w:displayHorizontalDrawingGridEvery w:val="1"/>
  <w:displayVerticalDrawingGridEvery w:val="1"/>
  <w:noPunctuationKerning w:val="1"/>
  <w:characterSpacingControl w:val="doNotCompress"/>
  <w:compat>
    <w:doNotExpandShiftReturn/>
    <w:doNotWrapTextWithPunct/>
    <w:doNotUseEastAsian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3CAE"/>
    <w:rsid w:val="00010FAF"/>
    <w:rsid w:val="0006139F"/>
    <w:rsid w:val="00070437"/>
    <w:rsid w:val="0008050B"/>
    <w:rsid w:val="000C170A"/>
    <w:rsid w:val="000E7B0E"/>
    <w:rsid w:val="000F00C1"/>
    <w:rsid w:val="00116321"/>
    <w:rsid w:val="001448D2"/>
    <w:rsid w:val="00157E11"/>
    <w:rsid w:val="001729FF"/>
    <w:rsid w:val="00191792"/>
    <w:rsid w:val="001A5A02"/>
    <w:rsid w:val="001E4311"/>
    <w:rsid w:val="001F5A47"/>
    <w:rsid w:val="002300A5"/>
    <w:rsid w:val="002644DC"/>
    <w:rsid w:val="00283CAE"/>
    <w:rsid w:val="002D3731"/>
    <w:rsid w:val="0031708A"/>
    <w:rsid w:val="00340414"/>
    <w:rsid w:val="00372279"/>
    <w:rsid w:val="003B258F"/>
    <w:rsid w:val="00414ACC"/>
    <w:rsid w:val="00430E97"/>
    <w:rsid w:val="00445FEC"/>
    <w:rsid w:val="00496D95"/>
    <w:rsid w:val="004A2B66"/>
    <w:rsid w:val="004C2F94"/>
    <w:rsid w:val="004C5CEE"/>
    <w:rsid w:val="004F01D1"/>
    <w:rsid w:val="0050031F"/>
    <w:rsid w:val="005D159C"/>
    <w:rsid w:val="005D1C18"/>
    <w:rsid w:val="006232E8"/>
    <w:rsid w:val="00664882"/>
    <w:rsid w:val="00697F5A"/>
    <w:rsid w:val="006B7C9D"/>
    <w:rsid w:val="0071001C"/>
    <w:rsid w:val="00732E8F"/>
    <w:rsid w:val="007332AC"/>
    <w:rsid w:val="007373ED"/>
    <w:rsid w:val="0083684E"/>
    <w:rsid w:val="00864A0F"/>
    <w:rsid w:val="00881FCA"/>
    <w:rsid w:val="008863E4"/>
    <w:rsid w:val="008B44DB"/>
    <w:rsid w:val="008E6A29"/>
    <w:rsid w:val="00915C13"/>
    <w:rsid w:val="009424C9"/>
    <w:rsid w:val="00981BE3"/>
    <w:rsid w:val="00982268"/>
    <w:rsid w:val="009E04DE"/>
    <w:rsid w:val="00A964AB"/>
    <w:rsid w:val="00AA5087"/>
    <w:rsid w:val="00B30A8F"/>
    <w:rsid w:val="00B32391"/>
    <w:rsid w:val="00B36928"/>
    <w:rsid w:val="00B90A97"/>
    <w:rsid w:val="00C0426C"/>
    <w:rsid w:val="00C0786F"/>
    <w:rsid w:val="00C503D5"/>
    <w:rsid w:val="00C60CC8"/>
    <w:rsid w:val="00CB4BCD"/>
    <w:rsid w:val="00CC5757"/>
    <w:rsid w:val="00CE144F"/>
    <w:rsid w:val="00D00F18"/>
    <w:rsid w:val="00D164F9"/>
    <w:rsid w:val="00D727E2"/>
    <w:rsid w:val="00E90C90"/>
    <w:rsid w:val="00F118A1"/>
    <w:rsid w:val="358163A2"/>
  </w:rsids>
  <m:mathPr>
    <m:mathFont m:val="Cambria Math"/>
    <m:brkBin m:val="before"/>
    <m:brkBinSub m:val="--"/>
    <m:smallFrac m:val="0"/>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0"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lang w:val="lt-LT" w:eastAsia="en-US" w:bidi="ar-SA"/>
    </w:rPr>
  </w:style>
  <w:style w:type="character" w:default="1" w:styleId="2">
    <w:name w:val="Default Paragraph Font"/>
    <w:semiHidden/>
    <w:unhideWhenUsed/>
    <w:qFormat/>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annotation reference"/>
    <w:basedOn w:val="2"/>
    <w:qFormat/>
    <w:uiPriority w:val="0"/>
    <w:rPr>
      <w:sz w:val="16"/>
      <w:szCs w:val="16"/>
    </w:rPr>
  </w:style>
  <w:style w:type="paragraph" w:styleId="5">
    <w:name w:val="annotation text"/>
    <w:basedOn w:val="1"/>
    <w:link w:val="13"/>
    <w:uiPriority w:val="0"/>
    <w:rPr>
      <w:sz w:val="20"/>
    </w:rPr>
  </w:style>
  <w:style w:type="paragraph" w:styleId="6">
    <w:name w:val="annotation subject"/>
    <w:basedOn w:val="5"/>
    <w:next w:val="5"/>
    <w:link w:val="14"/>
    <w:qFormat/>
    <w:uiPriority w:val="0"/>
    <w:rPr>
      <w:b/>
      <w:bCs/>
    </w:rPr>
  </w:style>
  <w:style w:type="character" w:styleId="7">
    <w:name w:val="FollowedHyperlink"/>
    <w:basedOn w:val="2"/>
    <w:uiPriority w:val="0"/>
    <w:rPr>
      <w:color w:val="954F72" w:themeColor="followedHyperlink"/>
      <w:u w:val="single"/>
      <w14:textFill>
        <w14:solidFill>
          <w14:schemeClr w14:val="folHlink"/>
        </w14:solidFill>
      </w14:textFill>
    </w:rPr>
  </w:style>
  <w:style w:type="paragraph" w:styleId="8">
    <w:name w:val="header"/>
    <w:basedOn w:val="1"/>
    <w:link w:val="12"/>
    <w:unhideWhenUsed/>
    <w:qFormat/>
    <w:uiPriority w:val="99"/>
    <w:pPr>
      <w:tabs>
        <w:tab w:val="center" w:pos="4680"/>
        <w:tab w:val="right" w:pos="9360"/>
      </w:tabs>
    </w:pPr>
    <w:rPr>
      <w:rFonts w:asciiTheme="minorHAnsi" w:hAnsiTheme="minorHAnsi" w:eastAsiaTheme="minorEastAsia" w:cstheme="minorBidi"/>
      <w:sz w:val="22"/>
      <w:szCs w:val="22"/>
      <w:lang w:val="en-GB" w:eastAsia="ko-KR"/>
    </w:rPr>
  </w:style>
  <w:style w:type="character" w:styleId="9">
    <w:name w:val="Hyperlink"/>
    <w:basedOn w:val="2"/>
    <w:uiPriority w:val="0"/>
    <w:rPr>
      <w:color w:val="0563C1" w:themeColor="hyperlink"/>
      <w:u w:val="single"/>
      <w14:textFill>
        <w14:solidFill>
          <w14:schemeClr w14:val="hlink"/>
        </w14:solidFill>
      </w14:textFill>
    </w:rPr>
  </w:style>
  <w:style w:type="table" w:styleId="10">
    <w:name w:val="Table Grid"/>
    <w:basedOn w:val="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Placeholder Text"/>
    <w:basedOn w:val="2"/>
    <w:uiPriority w:val="0"/>
    <w:rPr>
      <w:color w:val="808080"/>
    </w:rPr>
  </w:style>
  <w:style w:type="character" w:customStyle="1" w:styleId="12">
    <w:name w:val="Antraštės Diagrama"/>
    <w:basedOn w:val="2"/>
    <w:link w:val="8"/>
    <w:qFormat/>
    <w:uiPriority w:val="99"/>
    <w:rPr>
      <w:rFonts w:asciiTheme="minorHAnsi" w:hAnsiTheme="minorHAnsi" w:eastAsiaTheme="minorEastAsia" w:cstheme="minorBidi"/>
      <w:sz w:val="22"/>
      <w:szCs w:val="22"/>
      <w:lang w:val="en-GB" w:eastAsia="ko-KR"/>
    </w:rPr>
  </w:style>
  <w:style w:type="character" w:customStyle="1" w:styleId="13">
    <w:name w:val="Komentaro tekstas Diagrama"/>
    <w:basedOn w:val="2"/>
    <w:link w:val="5"/>
    <w:qFormat/>
    <w:uiPriority w:val="0"/>
    <w:rPr>
      <w:sz w:val="20"/>
    </w:rPr>
  </w:style>
  <w:style w:type="character" w:customStyle="1" w:styleId="14">
    <w:name w:val="Komentaro tema Diagrama"/>
    <w:basedOn w:val="13"/>
    <w:link w:val="6"/>
    <w:uiPriority w:val="0"/>
    <w:rPr>
      <w:b/>
      <w:bCs/>
      <w:sz w:val="20"/>
    </w:rPr>
  </w:style>
  <w:style w:type="paragraph" w:customStyle="1" w:styleId="15">
    <w:name w:val="Revision"/>
    <w:hidden/>
    <w:uiPriority w:val="0"/>
    <w:rPr>
      <w:rFonts w:ascii="Times New Roman" w:hAnsi="Times New Roman" w:eastAsia="Times New Roman" w:cs="Times New Roman"/>
      <w:sz w:val="24"/>
      <w:lang w:val="lt-LT" w:eastAsia="en-US" w:bidi="ar-SA"/>
    </w:rPr>
  </w:style>
  <w:style w:type="paragraph" w:styleId="16">
    <w:name w:val="List Paragraph"/>
    <w:basedOn w:val="1"/>
    <w:uiPriority w:val="0"/>
    <w:pPr>
      <w:ind w:left="720"/>
      <w:contextualSpacing/>
    </w:pPr>
  </w:style>
  <w:style w:type="character" w:customStyle="1" w:styleId="17">
    <w:name w:val="Unresolved Mention"/>
    <w:basedOn w:val="2"/>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image" Target="media/image1.png"/><Relationship Id="rId10" Type="http://schemas.openxmlformats.org/officeDocument/2006/relationships/oleObject" Target="embeddings/oleObject1.bin"/><Relationship Id="rId1" Type="http://schemas.openxmlformats.org/officeDocument/2006/relationships/styles" Target="styl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Svietimo skyrius</Company>
  <Pages>4</Pages>
  <Words>4012</Words>
  <Characters>2287</Characters>
  <Lines>19</Lines>
  <Paragraphs>12</Paragraphs>
  <TotalTime>9</TotalTime>
  <ScaleCrop>false</ScaleCrop>
  <LinksUpToDate>false</LinksUpToDate>
  <CharactersWithSpaces>6287</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2026-02-18T13:59:00Z</dcterms:created>
  <dc:creator>414-3</dc:creator>
  <cp:lastModifiedBy>linute2011</cp:lastModifiedBy>
  <cp:lastPrinted>2018-08-09T07:54:00Z</cp:lastPrinted>
  <dcterms:modified xsi:type="dcterms:W3CDTF">2026-03-10T08:29:27Z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A1DBA163FCEA485C9B7C1EC19B64D760_13</vt:lpwstr>
  </property>
</Properties>
</file>